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A7" w:rsidRPr="00AB28A7" w:rsidRDefault="00AB28A7" w:rsidP="00AB28A7">
      <w:pPr>
        <w:pStyle w:val="Default"/>
        <w:jc w:val="center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b/>
          <w:bCs/>
          <w:sz w:val="18"/>
          <w:szCs w:val="18"/>
        </w:rPr>
        <w:t>Appel à communications</w:t>
      </w:r>
    </w:p>
    <w:p w:rsidR="00AB28A7" w:rsidRPr="00AB28A7" w:rsidRDefault="00AB28A7" w:rsidP="00AB28A7">
      <w:pPr>
        <w:pStyle w:val="Default"/>
        <w:jc w:val="center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sz w:val="18"/>
          <w:szCs w:val="18"/>
        </w:rPr>
        <w:t>Colloque international</w:t>
      </w:r>
    </w:p>
    <w:p w:rsidR="00AB28A7" w:rsidRPr="00AB28A7" w:rsidRDefault="00AB28A7" w:rsidP="00AB28A7">
      <w:pPr>
        <w:pStyle w:val="Default"/>
        <w:jc w:val="center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b/>
          <w:bCs/>
          <w:sz w:val="18"/>
          <w:szCs w:val="18"/>
        </w:rPr>
        <w:t xml:space="preserve">Le projet appliqué au territoire : </w:t>
      </w:r>
      <w:r w:rsidRPr="00AB28A7">
        <w:rPr>
          <w:rFonts w:ascii="Century Gothic" w:hAnsi="Century Gothic"/>
          <w:b/>
          <w:bCs/>
          <w:i/>
          <w:iCs/>
          <w:sz w:val="18"/>
          <w:szCs w:val="18"/>
        </w:rPr>
        <w:t>relations, systèmes et complexité</w:t>
      </w:r>
    </w:p>
    <w:p w:rsidR="00AB28A7" w:rsidRPr="00AB28A7" w:rsidRDefault="00AB28A7" w:rsidP="00AB28A7">
      <w:pPr>
        <w:pStyle w:val="Default"/>
        <w:jc w:val="center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sz w:val="18"/>
          <w:szCs w:val="18"/>
        </w:rPr>
        <w:t>Tours, les 19 et 20 juin 2014</w:t>
      </w:r>
    </w:p>
    <w:p w:rsidR="00AB28A7" w:rsidRPr="00AB28A7" w:rsidRDefault="00AB28A7" w:rsidP="00AB28A7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sz w:val="18"/>
          <w:szCs w:val="18"/>
        </w:rPr>
        <w:t>Organisé par le CR05 de l’AISLF (Sociologie de la complexité : relations et systèmes), l’université de Tours, l’UMR 7324 CITERES</w:t>
      </w:r>
    </w:p>
    <w:p w:rsidR="00AB28A7" w:rsidRPr="00AB28A7" w:rsidRDefault="00AB28A7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CB2EF8" w:rsidRDefault="00CB2EF8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CB2EF8" w:rsidRDefault="00CB2EF8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2A3806" w:rsidRPr="00AB28A7" w:rsidRDefault="00AB28A7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sz w:val="18"/>
          <w:szCs w:val="18"/>
        </w:rPr>
        <w:t xml:space="preserve">Clara Sandrini, </w:t>
      </w:r>
    </w:p>
    <w:p w:rsidR="00AB28A7" w:rsidRPr="00AB28A7" w:rsidRDefault="00AB28A7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sz w:val="18"/>
          <w:szCs w:val="18"/>
        </w:rPr>
        <w:t>Architecte-urbaniste, docteur en architecture</w:t>
      </w:r>
    </w:p>
    <w:p w:rsidR="00AB28A7" w:rsidRPr="00AB28A7" w:rsidRDefault="00AB28A7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sz w:val="18"/>
          <w:szCs w:val="18"/>
        </w:rPr>
        <w:t>HDR en préparation</w:t>
      </w:r>
    </w:p>
    <w:p w:rsidR="00AB28A7" w:rsidRDefault="00AB28A7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sz w:val="18"/>
          <w:szCs w:val="18"/>
        </w:rPr>
        <w:t>Maître-assistante 1</w:t>
      </w:r>
      <w:r w:rsidRPr="00AB28A7">
        <w:rPr>
          <w:rFonts w:ascii="Century Gothic" w:hAnsi="Century Gothic"/>
          <w:sz w:val="18"/>
          <w:szCs w:val="18"/>
          <w:vertAlign w:val="superscript"/>
        </w:rPr>
        <w:t>ère</w:t>
      </w:r>
      <w:r w:rsidRPr="00AB28A7">
        <w:rPr>
          <w:rFonts w:ascii="Century Gothic" w:hAnsi="Century Gothic"/>
          <w:sz w:val="18"/>
          <w:szCs w:val="18"/>
        </w:rPr>
        <w:t xml:space="preserve"> classe à l’ENSA de Toulouse, chercheure au LRA</w:t>
      </w:r>
    </w:p>
    <w:p w:rsidR="00AB28A7" w:rsidRPr="00CB2EF8" w:rsidRDefault="00AB28A7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CB2EF8" w:rsidRPr="00CB2EF8" w:rsidRDefault="00CB2EF8" w:rsidP="00CB2EF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CB2EF8">
        <w:rPr>
          <w:rFonts w:ascii="Century Gothic" w:hAnsi="Century Gothic"/>
          <w:bCs/>
          <w:sz w:val="18"/>
          <w:szCs w:val="18"/>
        </w:rPr>
        <w:t>Axe 1 : Les dynamiques des projets territoriaux: processus, phasages et évolutions.</w:t>
      </w:r>
    </w:p>
    <w:p w:rsidR="00BE365B" w:rsidRPr="00CB2EF8" w:rsidRDefault="00CB2EF8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CB2EF8">
        <w:rPr>
          <w:rFonts w:ascii="Century Gothic" w:hAnsi="Century Gothic"/>
          <w:bCs/>
          <w:sz w:val="18"/>
          <w:szCs w:val="18"/>
        </w:rPr>
        <w:t>Axe 2 : Acteurs du projet territorial, relations et coopération.</w:t>
      </w:r>
    </w:p>
    <w:p w:rsidR="00056198" w:rsidRDefault="00056198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CB2EF8" w:rsidRDefault="00CB2EF8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CB2EF8" w:rsidRDefault="00CB2EF8" w:rsidP="00AB28A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056198" w:rsidRPr="00056198" w:rsidRDefault="00056198" w:rsidP="00AB28A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056198">
        <w:rPr>
          <w:rFonts w:ascii="Century Gothic" w:hAnsi="Century Gothic"/>
          <w:b/>
          <w:sz w:val="18"/>
          <w:szCs w:val="18"/>
        </w:rPr>
        <w:t>Une œuvre en mouvement pour une esthétique sociale</w:t>
      </w:r>
    </w:p>
    <w:p w:rsidR="00CB2EF8" w:rsidRDefault="00CB2EF8" w:rsidP="000A428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AB28A7" w:rsidRDefault="00BE365B" w:rsidP="000A428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La notion de projet urbain a été largement </w:t>
      </w:r>
      <w:r w:rsidR="00F75EA7">
        <w:rPr>
          <w:rFonts w:ascii="Century Gothic" w:hAnsi="Century Gothic"/>
          <w:sz w:val="18"/>
          <w:szCs w:val="18"/>
        </w:rPr>
        <w:t>explorée</w:t>
      </w:r>
      <w:r>
        <w:rPr>
          <w:rFonts w:ascii="Century Gothic" w:hAnsi="Century Gothic"/>
          <w:sz w:val="18"/>
          <w:szCs w:val="18"/>
        </w:rPr>
        <w:t xml:space="preserve"> par la recherche en architecture</w:t>
      </w:r>
      <w:r w:rsidR="00AE16E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pour en décompo</w:t>
      </w:r>
      <w:r w:rsidR="009357E3">
        <w:rPr>
          <w:rFonts w:ascii="Century Gothic" w:hAnsi="Century Gothic"/>
          <w:sz w:val="18"/>
          <w:szCs w:val="18"/>
        </w:rPr>
        <w:t>ser les processus et méthod</w:t>
      </w:r>
      <w:r>
        <w:rPr>
          <w:rFonts w:ascii="Century Gothic" w:hAnsi="Century Gothic"/>
          <w:sz w:val="18"/>
          <w:szCs w:val="18"/>
        </w:rPr>
        <w:t>es</w:t>
      </w:r>
      <w:r w:rsidR="00AE16EB">
        <w:rPr>
          <w:rStyle w:val="Appelnotedebasdep"/>
          <w:rFonts w:ascii="Century Gothic" w:hAnsi="Century Gothic"/>
          <w:sz w:val="18"/>
          <w:szCs w:val="18"/>
        </w:rPr>
        <w:footnoteReference w:id="1"/>
      </w:r>
      <w:r>
        <w:rPr>
          <w:rFonts w:ascii="Century Gothic" w:hAnsi="Century Gothic"/>
          <w:sz w:val="18"/>
          <w:szCs w:val="18"/>
        </w:rPr>
        <w:t xml:space="preserve">. La définition donnée par Jean-Pierre </w:t>
      </w:r>
      <w:proofErr w:type="spellStart"/>
      <w:r>
        <w:rPr>
          <w:rFonts w:ascii="Century Gothic" w:hAnsi="Century Gothic"/>
          <w:sz w:val="18"/>
          <w:szCs w:val="18"/>
        </w:rPr>
        <w:t>Boutinet</w:t>
      </w:r>
      <w:proofErr w:type="spellEnd"/>
      <w:r w:rsidR="006E1162">
        <w:rPr>
          <w:rFonts w:ascii="Century Gothic" w:hAnsi="Century Gothic"/>
          <w:sz w:val="18"/>
          <w:szCs w:val="18"/>
        </w:rPr>
        <w:t xml:space="preserve"> </w:t>
      </w:r>
      <w:r w:rsidR="00AE16EB">
        <w:rPr>
          <w:rFonts w:ascii="Century Gothic" w:hAnsi="Century Gothic"/>
          <w:sz w:val="18"/>
          <w:szCs w:val="18"/>
        </w:rPr>
        <w:t xml:space="preserve">le </w:t>
      </w:r>
      <w:r w:rsidR="006E1162">
        <w:rPr>
          <w:rFonts w:ascii="Century Gothic" w:hAnsi="Century Gothic"/>
          <w:sz w:val="18"/>
          <w:szCs w:val="18"/>
        </w:rPr>
        <w:t>renvoie à</w:t>
      </w:r>
      <w:r>
        <w:rPr>
          <w:rFonts w:ascii="Century Gothic" w:hAnsi="Century Gothic"/>
          <w:sz w:val="18"/>
          <w:szCs w:val="18"/>
        </w:rPr>
        <w:t xml:space="preserve"> </w:t>
      </w:r>
      <w:r w:rsidR="00AB28A7" w:rsidRPr="00AB28A7">
        <w:rPr>
          <w:rFonts w:ascii="Century Gothic" w:hAnsi="Century Gothic"/>
          <w:sz w:val="18"/>
          <w:szCs w:val="18"/>
        </w:rPr>
        <w:t>un projet d’activités</w:t>
      </w:r>
      <w:r>
        <w:rPr>
          <w:rFonts w:ascii="Century Gothic" w:hAnsi="Century Gothic"/>
          <w:sz w:val="18"/>
          <w:szCs w:val="18"/>
        </w:rPr>
        <w:t xml:space="preserve"> qui réunit plusieurs collectifs d’acteurs à plusieurs échelles de décision, de conception et de construction. </w:t>
      </w:r>
      <w:r w:rsidR="0036527B">
        <w:rPr>
          <w:rFonts w:ascii="Century Gothic" w:hAnsi="Century Gothic"/>
          <w:sz w:val="18"/>
          <w:szCs w:val="18"/>
        </w:rPr>
        <w:t>Elle</w:t>
      </w:r>
      <w:r w:rsidR="000A4281">
        <w:rPr>
          <w:rFonts w:ascii="Century Gothic" w:hAnsi="Century Gothic"/>
          <w:sz w:val="18"/>
          <w:szCs w:val="18"/>
        </w:rPr>
        <w:t xml:space="preserve"> ancre ainsi le projet urbain dans </w:t>
      </w:r>
      <w:r w:rsidR="000A4281" w:rsidRPr="00AB28A7">
        <w:rPr>
          <w:rFonts w:ascii="Century Gothic" w:hAnsi="Century Gothic"/>
          <w:sz w:val="18"/>
          <w:szCs w:val="18"/>
        </w:rPr>
        <w:t>un territoire physique, politique, économique et social</w:t>
      </w:r>
      <w:r w:rsidR="006E1162">
        <w:rPr>
          <w:rFonts w:ascii="Century Gothic" w:hAnsi="Century Gothic"/>
          <w:sz w:val="18"/>
          <w:szCs w:val="18"/>
        </w:rPr>
        <w:t xml:space="preserve"> </w:t>
      </w:r>
      <w:r w:rsidR="000A4281">
        <w:rPr>
          <w:rFonts w:ascii="Century Gothic" w:hAnsi="Century Gothic"/>
          <w:sz w:val="18"/>
          <w:szCs w:val="18"/>
        </w:rPr>
        <w:t xml:space="preserve">qui associe l’ensemble des acteurs de </w:t>
      </w:r>
      <w:r w:rsidR="00F75EA7">
        <w:rPr>
          <w:rFonts w:ascii="Century Gothic" w:hAnsi="Century Gothic"/>
          <w:sz w:val="18"/>
          <w:szCs w:val="18"/>
        </w:rPr>
        <w:t xml:space="preserve">la </w:t>
      </w:r>
      <w:r w:rsidR="000A4281">
        <w:rPr>
          <w:rFonts w:ascii="Century Gothic" w:hAnsi="Century Gothic"/>
          <w:sz w:val="18"/>
          <w:szCs w:val="18"/>
        </w:rPr>
        <w:t xml:space="preserve">fabrication de l’espace. </w:t>
      </w:r>
    </w:p>
    <w:p w:rsidR="0036527B" w:rsidRDefault="0036527B" w:rsidP="000A428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AE16EB" w:rsidRDefault="006E1162" w:rsidP="000A428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Cette</w:t>
      </w:r>
      <w:r w:rsidR="000A4281">
        <w:rPr>
          <w:rFonts w:ascii="Century Gothic" w:hAnsi="Century Gothic"/>
          <w:sz w:val="18"/>
          <w:szCs w:val="18"/>
        </w:rPr>
        <w:t xml:space="preserve"> définition amène à distinguer l’œuvre architecturale</w:t>
      </w:r>
      <w:r w:rsidR="00FA5223">
        <w:rPr>
          <w:rFonts w:ascii="Century Gothic" w:hAnsi="Century Gothic"/>
          <w:sz w:val="18"/>
          <w:szCs w:val="18"/>
        </w:rPr>
        <w:t>,</w:t>
      </w:r>
      <w:r w:rsidR="000A4281">
        <w:rPr>
          <w:rFonts w:ascii="Century Gothic" w:hAnsi="Century Gothic"/>
          <w:sz w:val="18"/>
          <w:szCs w:val="18"/>
        </w:rPr>
        <w:t xml:space="preserve"> proche de l’œuvre d’art, de l’œuvre urbaine</w:t>
      </w:r>
      <w:r w:rsidR="00F75EA7">
        <w:rPr>
          <w:rFonts w:ascii="Century Gothic" w:hAnsi="Century Gothic"/>
          <w:sz w:val="18"/>
          <w:szCs w:val="18"/>
        </w:rPr>
        <w:t xml:space="preserve"> </w:t>
      </w:r>
      <w:r w:rsidR="00AE16EB">
        <w:rPr>
          <w:rFonts w:ascii="Century Gothic" w:hAnsi="Century Gothic"/>
          <w:sz w:val="18"/>
          <w:szCs w:val="18"/>
        </w:rPr>
        <w:t xml:space="preserve">qui ne peut être conçue comme </w:t>
      </w:r>
      <w:r w:rsidR="0036527B">
        <w:rPr>
          <w:rFonts w:ascii="Century Gothic" w:hAnsi="Century Gothic"/>
          <w:sz w:val="18"/>
          <w:szCs w:val="18"/>
        </w:rPr>
        <w:t>telle</w:t>
      </w:r>
      <w:r w:rsidR="00FA5223">
        <w:rPr>
          <w:rStyle w:val="Appelnotedebasdep"/>
          <w:rFonts w:ascii="Century Gothic" w:hAnsi="Century Gothic"/>
          <w:sz w:val="18"/>
          <w:szCs w:val="18"/>
        </w:rPr>
        <w:footnoteReference w:id="2"/>
      </w:r>
      <w:r w:rsidR="00AE16EB">
        <w:rPr>
          <w:rFonts w:ascii="Century Gothic" w:hAnsi="Century Gothic"/>
          <w:sz w:val="18"/>
          <w:szCs w:val="18"/>
        </w:rPr>
        <w:t xml:space="preserve">, à moins d’entrer dans le </w:t>
      </w:r>
      <w:r w:rsidR="00AB28A7" w:rsidRPr="00AB28A7">
        <w:rPr>
          <w:rFonts w:ascii="Century Gothic" w:hAnsi="Century Gothic"/>
          <w:sz w:val="18"/>
          <w:szCs w:val="18"/>
        </w:rPr>
        <w:t>mouvement</w:t>
      </w:r>
      <w:r w:rsidR="00FA5223">
        <w:rPr>
          <w:rStyle w:val="Appelnotedebasdep"/>
          <w:rFonts w:ascii="Century Gothic" w:hAnsi="Century Gothic"/>
          <w:sz w:val="18"/>
          <w:szCs w:val="18"/>
        </w:rPr>
        <w:footnoteReference w:id="3"/>
      </w:r>
      <w:r w:rsidR="00AB28A7" w:rsidRPr="00AB28A7">
        <w:rPr>
          <w:rFonts w:ascii="Century Gothic" w:hAnsi="Century Gothic"/>
          <w:sz w:val="18"/>
          <w:szCs w:val="18"/>
        </w:rPr>
        <w:t xml:space="preserve"> </w:t>
      </w:r>
      <w:r w:rsidR="00AE16EB">
        <w:rPr>
          <w:rFonts w:ascii="Century Gothic" w:hAnsi="Century Gothic"/>
          <w:sz w:val="18"/>
          <w:szCs w:val="18"/>
        </w:rPr>
        <w:t>des interactions sociales</w:t>
      </w:r>
      <w:r w:rsidR="00FA5223">
        <w:rPr>
          <w:rFonts w:ascii="Century Gothic" w:hAnsi="Century Gothic"/>
          <w:sz w:val="18"/>
          <w:szCs w:val="18"/>
        </w:rPr>
        <w:t xml:space="preserve"> </w:t>
      </w:r>
      <w:r w:rsidR="00AE16EB">
        <w:rPr>
          <w:rFonts w:ascii="Century Gothic" w:hAnsi="Century Gothic"/>
          <w:sz w:val="18"/>
          <w:szCs w:val="18"/>
        </w:rPr>
        <w:t>pour</w:t>
      </w:r>
      <w:r w:rsidR="00FA5223">
        <w:rPr>
          <w:rFonts w:ascii="Century Gothic" w:hAnsi="Century Gothic"/>
          <w:sz w:val="18"/>
          <w:szCs w:val="18"/>
        </w:rPr>
        <w:t xml:space="preserve"> met</w:t>
      </w:r>
      <w:r w:rsidR="00AE16EB">
        <w:rPr>
          <w:rFonts w:ascii="Century Gothic" w:hAnsi="Century Gothic"/>
          <w:sz w:val="18"/>
          <w:szCs w:val="18"/>
        </w:rPr>
        <w:t>tre</w:t>
      </w:r>
      <w:r w:rsidR="00FA5223">
        <w:rPr>
          <w:rFonts w:ascii="Century Gothic" w:hAnsi="Century Gothic"/>
          <w:sz w:val="18"/>
          <w:szCs w:val="18"/>
        </w:rPr>
        <w:t xml:space="preserve"> en place un dialogue entre les collectifs d’acteurs, notamment les usagers-habitants. Ce</w:t>
      </w:r>
      <w:r w:rsidR="00AB28A7" w:rsidRPr="00AB28A7">
        <w:rPr>
          <w:rFonts w:ascii="Century Gothic" w:hAnsi="Century Gothic"/>
          <w:sz w:val="18"/>
          <w:szCs w:val="18"/>
        </w:rPr>
        <w:t xml:space="preserve"> </w:t>
      </w:r>
      <w:r w:rsidR="00AE16EB">
        <w:rPr>
          <w:rFonts w:ascii="Century Gothic" w:hAnsi="Century Gothic"/>
          <w:sz w:val="18"/>
          <w:szCs w:val="18"/>
        </w:rPr>
        <w:t>mouvement suppose</w:t>
      </w:r>
      <w:r w:rsidR="00F75EA7">
        <w:rPr>
          <w:rFonts w:ascii="Century Gothic" w:hAnsi="Century Gothic"/>
          <w:sz w:val="18"/>
          <w:szCs w:val="18"/>
        </w:rPr>
        <w:t xml:space="preserve"> </w:t>
      </w:r>
      <w:r w:rsidR="00AB28A7" w:rsidRPr="00AB28A7">
        <w:rPr>
          <w:rFonts w:ascii="Century Gothic" w:hAnsi="Century Gothic"/>
          <w:sz w:val="18"/>
          <w:szCs w:val="18"/>
        </w:rPr>
        <w:t>une coordination des acteurs et des échelles de projets</w:t>
      </w:r>
      <w:r w:rsidR="00AE16EB">
        <w:rPr>
          <w:rFonts w:ascii="Century Gothic" w:hAnsi="Century Gothic"/>
          <w:sz w:val="18"/>
          <w:szCs w:val="18"/>
        </w:rPr>
        <w:t> : il</w:t>
      </w:r>
      <w:r w:rsidR="00FA5223">
        <w:rPr>
          <w:rFonts w:ascii="Century Gothic" w:hAnsi="Century Gothic"/>
          <w:sz w:val="18"/>
          <w:szCs w:val="18"/>
        </w:rPr>
        <w:t xml:space="preserve"> répond aux exigences contemporaines de la fabrication de la ville contemporaine, soutenable et environnementale. </w:t>
      </w:r>
    </w:p>
    <w:p w:rsidR="0036527B" w:rsidRDefault="0036527B" w:rsidP="000A428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36527B" w:rsidRDefault="00FA5223" w:rsidP="000A428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études réalisées en Europe montrent plusieurs agencements</w:t>
      </w:r>
      <w:r>
        <w:rPr>
          <w:rStyle w:val="Appelnotedebasdep"/>
          <w:rFonts w:ascii="Century Gothic" w:hAnsi="Century Gothic"/>
          <w:sz w:val="18"/>
          <w:szCs w:val="18"/>
        </w:rPr>
        <w:footnoteReference w:id="4"/>
      </w:r>
      <w:r>
        <w:rPr>
          <w:rFonts w:ascii="Century Gothic" w:hAnsi="Century Gothic"/>
          <w:sz w:val="18"/>
          <w:szCs w:val="18"/>
        </w:rPr>
        <w:t xml:space="preserve"> des collectifs </w:t>
      </w:r>
      <w:r w:rsidR="00AE16EB">
        <w:rPr>
          <w:rFonts w:ascii="Century Gothic" w:hAnsi="Century Gothic"/>
          <w:sz w:val="18"/>
          <w:szCs w:val="18"/>
        </w:rPr>
        <w:t xml:space="preserve">architecturaux, politiques et sociaux. La comparaison des dynamiques de projet sur les territoires </w:t>
      </w:r>
      <w:r w:rsidR="009357E3">
        <w:rPr>
          <w:rFonts w:ascii="Century Gothic" w:hAnsi="Century Gothic"/>
          <w:sz w:val="18"/>
          <w:szCs w:val="18"/>
        </w:rPr>
        <w:t>de Toulouse et Sofia</w:t>
      </w:r>
      <w:r w:rsidR="00AE16EB">
        <w:rPr>
          <w:rFonts w:ascii="Century Gothic" w:hAnsi="Century Gothic"/>
          <w:sz w:val="18"/>
          <w:szCs w:val="18"/>
        </w:rPr>
        <w:t xml:space="preserve"> </w:t>
      </w:r>
      <w:r w:rsidR="0036527B">
        <w:rPr>
          <w:rFonts w:ascii="Century Gothic" w:hAnsi="Century Gothic"/>
          <w:sz w:val="18"/>
          <w:szCs w:val="18"/>
        </w:rPr>
        <w:t>témoigne</w:t>
      </w:r>
      <w:r w:rsidR="00AE16EB">
        <w:rPr>
          <w:rFonts w:ascii="Century Gothic" w:hAnsi="Century Gothic"/>
          <w:sz w:val="18"/>
          <w:szCs w:val="18"/>
        </w:rPr>
        <w:t xml:space="preserve"> </w:t>
      </w:r>
      <w:r w:rsidR="0036527B">
        <w:rPr>
          <w:rFonts w:ascii="Century Gothic" w:hAnsi="Century Gothic"/>
          <w:sz w:val="18"/>
          <w:szCs w:val="18"/>
        </w:rPr>
        <w:t>d’</w:t>
      </w:r>
      <w:r w:rsidR="00AE16EB">
        <w:rPr>
          <w:rFonts w:ascii="Century Gothic" w:hAnsi="Century Gothic"/>
          <w:sz w:val="18"/>
          <w:szCs w:val="18"/>
        </w:rPr>
        <w:t>écarts dans l’appropriation et l’occupation des espaces urbains</w:t>
      </w:r>
      <w:r w:rsidR="0036527B">
        <w:rPr>
          <w:rFonts w:ascii="Century Gothic" w:hAnsi="Century Gothic"/>
          <w:sz w:val="18"/>
          <w:szCs w:val="18"/>
        </w:rPr>
        <w:t xml:space="preserve"> </w:t>
      </w:r>
      <w:r w:rsidR="00AE16EB">
        <w:rPr>
          <w:rFonts w:ascii="Century Gothic" w:hAnsi="Century Gothic"/>
          <w:sz w:val="18"/>
          <w:szCs w:val="18"/>
        </w:rPr>
        <w:t xml:space="preserve">: une participation habitante </w:t>
      </w:r>
      <w:r>
        <w:rPr>
          <w:rFonts w:ascii="Century Gothic" w:hAnsi="Century Gothic"/>
          <w:sz w:val="18"/>
          <w:szCs w:val="18"/>
        </w:rPr>
        <w:t xml:space="preserve">a priori </w:t>
      </w:r>
      <w:r w:rsidR="0036527B">
        <w:rPr>
          <w:rFonts w:ascii="Century Gothic" w:hAnsi="Century Gothic"/>
          <w:sz w:val="18"/>
          <w:szCs w:val="18"/>
        </w:rPr>
        <w:t>et inachevée</w:t>
      </w:r>
      <w:r w:rsidR="0036527B">
        <w:rPr>
          <w:rStyle w:val="Appelnotedebasdep"/>
          <w:rFonts w:ascii="Century Gothic" w:hAnsi="Century Gothic"/>
          <w:sz w:val="18"/>
          <w:szCs w:val="18"/>
        </w:rPr>
        <w:footnoteReference w:id="5"/>
      </w:r>
      <w:r w:rsidR="0036527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de la conception à l’Ouest, </w:t>
      </w:r>
      <w:r w:rsidR="0036527B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 xml:space="preserve"> postériori de la construction à l’Est. </w:t>
      </w:r>
    </w:p>
    <w:p w:rsidR="0036527B" w:rsidRDefault="0036527B" w:rsidP="000A428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AB28A7" w:rsidRDefault="00AB28A7" w:rsidP="000A428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B28A7">
        <w:rPr>
          <w:rFonts w:ascii="Century Gothic" w:hAnsi="Century Gothic"/>
          <w:sz w:val="18"/>
          <w:szCs w:val="18"/>
        </w:rPr>
        <w:t>L</w:t>
      </w:r>
      <w:r w:rsidR="006E1162">
        <w:rPr>
          <w:rFonts w:ascii="Century Gothic" w:hAnsi="Century Gothic"/>
          <w:sz w:val="18"/>
          <w:szCs w:val="18"/>
        </w:rPr>
        <w:t>es expérimentations menées sur le territoire régional</w:t>
      </w:r>
      <w:r w:rsidR="006E1162">
        <w:rPr>
          <w:rStyle w:val="Appelnotedebasdep"/>
          <w:rFonts w:ascii="Century Gothic" w:hAnsi="Century Gothic"/>
          <w:sz w:val="18"/>
          <w:szCs w:val="18"/>
        </w:rPr>
        <w:footnoteReference w:id="6"/>
      </w:r>
      <w:r w:rsidR="006E1162">
        <w:rPr>
          <w:rFonts w:ascii="Century Gothic" w:hAnsi="Century Gothic"/>
          <w:sz w:val="18"/>
          <w:szCs w:val="18"/>
        </w:rPr>
        <w:t xml:space="preserve"> et communal</w:t>
      </w:r>
      <w:r w:rsidR="006E1162">
        <w:rPr>
          <w:rStyle w:val="Appelnotedebasdep"/>
          <w:rFonts w:ascii="Century Gothic" w:hAnsi="Century Gothic"/>
          <w:sz w:val="18"/>
          <w:szCs w:val="18"/>
        </w:rPr>
        <w:footnoteReference w:id="7"/>
      </w:r>
      <w:r w:rsidR="006E1162">
        <w:rPr>
          <w:rFonts w:ascii="Century Gothic" w:hAnsi="Century Gothic"/>
          <w:sz w:val="18"/>
          <w:szCs w:val="18"/>
        </w:rPr>
        <w:t xml:space="preserve"> de Toulouse visent </w:t>
      </w:r>
      <w:r w:rsidR="009357E3">
        <w:rPr>
          <w:rFonts w:ascii="Century Gothic" w:hAnsi="Century Gothic"/>
          <w:sz w:val="18"/>
          <w:szCs w:val="18"/>
        </w:rPr>
        <w:t xml:space="preserve">alors </w:t>
      </w:r>
      <w:r w:rsidR="006E1162">
        <w:rPr>
          <w:rFonts w:ascii="Century Gothic" w:hAnsi="Century Gothic"/>
          <w:sz w:val="18"/>
          <w:szCs w:val="18"/>
        </w:rPr>
        <w:t xml:space="preserve">à </w:t>
      </w:r>
      <w:r w:rsidR="0036527B">
        <w:rPr>
          <w:rFonts w:ascii="Century Gothic" w:hAnsi="Century Gothic"/>
          <w:sz w:val="18"/>
          <w:szCs w:val="18"/>
        </w:rPr>
        <w:t xml:space="preserve">développer l’implication des usagers-habitants </w:t>
      </w:r>
      <w:r w:rsidR="006E1162">
        <w:rPr>
          <w:rFonts w:ascii="Century Gothic" w:hAnsi="Century Gothic"/>
          <w:sz w:val="18"/>
          <w:szCs w:val="18"/>
        </w:rPr>
        <w:t xml:space="preserve">pour délimiter progressivement </w:t>
      </w:r>
      <w:r w:rsidRPr="00AB28A7">
        <w:rPr>
          <w:rFonts w:ascii="Century Gothic" w:hAnsi="Century Gothic"/>
          <w:sz w:val="18"/>
          <w:szCs w:val="18"/>
        </w:rPr>
        <w:t>une image urbaine</w:t>
      </w:r>
      <w:r w:rsidR="006E1162">
        <w:rPr>
          <w:rFonts w:ascii="Century Gothic" w:hAnsi="Century Gothic"/>
          <w:sz w:val="18"/>
          <w:szCs w:val="18"/>
        </w:rPr>
        <w:t xml:space="preserve"> </w:t>
      </w:r>
      <w:r w:rsidRPr="00AB28A7">
        <w:rPr>
          <w:rFonts w:ascii="Century Gothic" w:hAnsi="Century Gothic"/>
          <w:sz w:val="18"/>
          <w:szCs w:val="18"/>
        </w:rPr>
        <w:t>partagée à plusieurs échelles</w:t>
      </w:r>
      <w:r w:rsidR="006E1162">
        <w:rPr>
          <w:rFonts w:ascii="Century Gothic" w:hAnsi="Century Gothic"/>
          <w:sz w:val="18"/>
          <w:szCs w:val="18"/>
        </w:rPr>
        <w:t xml:space="preserve">. </w:t>
      </w:r>
      <w:r w:rsidRPr="00AB28A7">
        <w:rPr>
          <w:rFonts w:ascii="Century Gothic" w:hAnsi="Century Gothic"/>
          <w:sz w:val="18"/>
          <w:szCs w:val="18"/>
        </w:rPr>
        <w:t> </w:t>
      </w:r>
      <w:r w:rsidR="0036527B">
        <w:rPr>
          <w:rFonts w:ascii="Century Gothic" w:hAnsi="Century Gothic"/>
          <w:sz w:val="18"/>
          <w:szCs w:val="18"/>
        </w:rPr>
        <w:t xml:space="preserve">Elles mettent en scène </w:t>
      </w:r>
      <w:r w:rsidRPr="00AB28A7">
        <w:rPr>
          <w:rFonts w:ascii="Century Gothic" w:hAnsi="Century Gothic"/>
          <w:sz w:val="18"/>
          <w:szCs w:val="18"/>
        </w:rPr>
        <w:t>une esthétique relationnelle</w:t>
      </w:r>
      <w:r w:rsidR="0036527B">
        <w:rPr>
          <w:rStyle w:val="Appelnotedebasdep"/>
          <w:rFonts w:ascii="Century Gothic" w:hAnsi="Century Gothic"/>
          <w:sz w:val="18"/>
          <w:szCs w:val="18"/>
        </w:rPr>
        <w:footnoteReference w:id="8"/>
      </w:r>
      <w:r w:rsidR="0036527B">
        <w:rPr>
          <w:rFonts w:ascii="Century Gothic" w:hAnsi="Century Gothic"/>
          <w:sz w:val="18"/>
          <w:szCs w:val="18"/>
        </w:rPr>
        <w:t xml:space="preserve"> qui participe d’une médiation architecturale et associe l’ENSA et le LRA de Toulouse aux réflexions sur la métropolisation. </w:t>
      </w:r>
    </w:p>
    <w:sectPr w:rsidR="00AB28A7" w:rsidSect="002A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53" w:rsidRDefault="00911E53" w:rsidP="00BE365B">
      <w:pPr>
        <w:spacing w:after="0" w:line="240" w:lineRule="auto"/>
      </w:pPr>
      <w:r>
        <w:separator/>
      </w:r>
    </w:p>
  </w:endnote>
  <w:endnote w:type="continuationSeparator" w:id="0">
    <w:p w:rsidR="00911E53" w:rsidRDefault="00911E53" w:rsidP="00BE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53" w:rsidRDefault="00911E53" w:rsidP="00BE365B">
      <w:pPr>
        <w:spacing w:after="0" w:line="240" w:lineRule="auto"/>
      </w:pPr>
      <w:r>
        <w:separator/>
      </w:r>
    </w:p>
  </w:footnote>
  <w:footnote w:type="continuationSeparator" w:id="0">
    <w:p w:rsidR="00911E53" w:rsidRDefault="00911E53" w:rsidP="00BE365B">
      <w:pPr>
        <w:spacing w:after="0" w:line="240" w:lineRule="auto"/>
      </w:pPr>
      <w:r>
        <w:continuationSeparator/>
      </w:r>
    </w:p>
  </w:footnote>
  <w:footnote w:id="1">
    <w:p w:rsidR="00AE16EB" w:rsidRPr="0036527B" w:rsidRDefault="00AE16EB" w:rsidP="0036527B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36527B">
        <w:rPr>
          <w:rStyle w:val="Appelnotedebasdep"/>
          <w:rFonts w:ascii="Century Gothic" w:hAnsi="Century Gothic"/>
          <w:sz w:val="16"/>
          <w:szCs w:val="16"/>
        </w:rPr>
        <w:footnoteRef/>
      </w:r>
      <w:r w:rsidRPr="0036527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Viganò</w:t>
      </w:r>
      <w:proofErr w:type="spellEnd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, P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et </w:t>
      </w:r>
      <w:proofErr w:type="spellStart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Grillet</w:t>
      </w:r>
      <w:proofErr w:type="spellEnd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-Aubert, A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>Les territoires de l’urbanisme le projet comme producteur de connaissance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Genève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proofErr w:type="spellStart"/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MetisPresses</w:t>
      </w:r>
      <w:proofErr w:type="spellEnd"/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, 2012</w:t>
      </w:r>
    </w:p>
  </w:footnote>
  <w:footnote w:id="2">
    <w:p w:rsidR="00FA5223" w:rsidRPr="0036527B" w:rsidRDefault="00FA5223" w:rsidP="0036527B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36527B">
        <w:rPr>
          <w:rStyle w:val="Appelnotedebasdep"/>
          <w:rFonts w:ascii="Century Gothic" w:hAnsi="Century Gothic"/>
          <w:sz w:val="16"/>
          <w:szCs w:val="16"/>
        </w:rPr>
        <w:footnoteRef/>
      </w:r>
      <w:r w:rsidRPr="0036527B">
        <w:rPr>
          <w:rFonts w:ascii="Century Gothic" w:hAnsi="Century Gothic"/>
          <w:sz w:val="16"/>
          <w:szCs w:val="16"/>
        </w:rPr>
        <w:t xml:space="preserve">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Goetz, B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>La Dislocation, Architecture et Philosophie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, Paris, Passion, 2002</w:t>
      </w:r>
    </w:p>
  </w:footnote>
  <w:footnote w:id="3">
    <w:p w:rsidR="00FA5223" w:rsidRPr="0036527B" w:rsidRDefault="00FA5223" w:rsidP="0036527B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36527B">
        <w:rPr>
          <w:rStyle w:val="Appelnotedebasdep"/>
          <w:rFonts w:ascii="Century Gothic" w:hAnsi="Century Gothic"/>
          <w:sz w:val="16"/>
          <w:szCs w:val="16"/>
        </w:rPr>
        <w:footnoteRef/>
      </w:r>
      <w:r w:rsidRPr="0036527B">
        <w:rPr>
          <w:rFonts w:ascii="Century Gothic" w:hAnsi="Century Gothic"/>
          <w:sz w:val="16"/>
          <w:szCs w:val="16"/>
        </w:rPr>
        <w:t xml:space="preserve">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Eco, U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="00056198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>L’œuvre Ouverte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Paris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, Seuil, 2007</w:t>
      </w:r>
    </w:p>
  </w:footnote>
  <w:footnote w:id="4">
    <w:p w:rsidR="00FA5223" w:rsidRPr="0036527B" w:rsidRDefault="00FA5223" w:rsidP="0036527B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36527B">
        <w:rPr>
          <w:rStyle w:val="Appelnotedebasdep"/>
          <w:rFonts w:ascii="Century Gothic" w:hAnsi="Century Gothic"/>
          <w:sz w:val="16"/>
          <w:szCs w:val="16"/>
        </w:rPr>
        <w:footnoteRef/>
      </w:r>
      <w:r w:rsidRPr="0036527B">
        <w:rPr>
          <w:rFonts w:ascii="Century Gothic" w:hAnsi="Century Gothic"/>
          <w:sz w:val="16"/>
          <w:szCs w:val="16"/>
        </w:rPr>
        <w:t xml:space="preserve">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Deleuze, G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et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 Guattari, 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F., </w:t>
      </w:r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>Capitalisme et Schizophrénie, Tome 2</w:t>
      </w:r>
      <w:r w:rsidRPr="0036527B"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  <w:t> </w:t>
      </w:r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 xml:space="preserve">: Mille Plateaux,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Paris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, Minuit, 1980</w:t>
      </w:r>
    </w:p>
  </w:footnote>
  <w:footnote w:id="5">
    <w:p w:rsidR="0036527B" w:rsidRPr="0036527B" w:rsidRDefault="0036527B" w:rsidP="0036527B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36527B">
        <w:rPr>
          <w:rStyle w:val="Appelnotedebasdep"/>
          <w:rFonts w:ascii="Century Gothic" w:hAnsi="Century Gothic"/>
          <w:sz w:val="16"/>
          <w:szCs w:val="16"/>
        </w:rPr>
        <w:footnoteRef/>
      </w:r>
      <w:r w:rsidRPr="0036527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Bacqué</w:t>
      </w:r>
      <w:proofErr w:type="spellEnd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, M-H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et </w:t>
      </w:r>
      <w:proofErr w:type="spellStart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Sintomer</w:t>
      </w:r>
      <w:proofErr w:type="spellEnd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Y., </w:t>
      </w:r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>La Démocratie Participative Inachevée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Paris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, Yves Michel, 2010</w:t>
      </w:r>
    </w:p>
  </w:footnote>
  <w:footnote w:id="6">
    <w:p w:rsidR="006E1162" w:rsidRPr="0036527B" w:rsidRDefault="006E1162" w:rsidP="0036527B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36527B">
        <w:rPr>
          <w:rStyle w:val="Appelnotedebasdep"/>
          <w:rFonts w:ascii="Century Gothic" w:hAnsi="Century Gothic"/>
          <w:sz w:val="16"/>
          <w:szCs w:val="16"/>
        </w:rPr>
        <w:footnoteRef/>
      </w:r>
      <w:r w:rsidRPr="0036527B">
        <w:rPr>
          <w:rFonts w:ascii="Century Gothic" w:hAnsi="Century Gothic"/>
          <w:sz w:val="16"/>
          <w:szCs w:val="16"/>
        </w:rPr>
        <w:t xml:space="preserve">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Sandrini, C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 (</w:t>
      </w:r>
      <w:proofErr w:type="spellStart"/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coord</w:t>
      </w:r>
      <w:proofErr w:type="spellEnd"/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.)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>Graulhet</w:t>
      </w:r>
      <w:r w:rsidRPr="0036527B"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  <w:t> </w:t>
      </w:r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 xml:space="preserve">: Le Champ Des </w:t>
      </w:r>
      <w:proofErr w:type="gramStart"/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>Possibles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 ,</w:t>
      </w:r>
      <w:proofErr w:type="gramEnd"/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 Rapport de recherche régionale</w:t>
      </w:r>
      <w:r w:rsidR="00056198" w:rsidRP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 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SHS,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Toulouse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,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 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LRA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2011</w:t>
      </w:r>
    </w:p>
  </w:footnote>
  <w:footnote w:id="7">
    <w:p w:rsidR="006E1162" w:rsidRPr="0036527B" w:rsidRDefault="006E1162" w:rsidP="0036527B">
      <w:pPr>
        <w:pStyle w:val="Notedebasdepage"/>
        <w:rPr>
          <w:rFonts w:ascii="Century Gothic" w:hAnsi="Century Gothic"/>
          <w:sz w:val="16"/>
          <w:szCs w:val="16"/>
        </w:rPr>
      </w:pPr>
      <w:r w:rsidRPr="0036527B">
        <w:rPr>
          <w:rStyle w:val="Appelnotedebasdep"/>
          <w:rFonts w:ascii="Century Gothic" w:hAnsi="Century Gothic"/>
          <w:sz w:val="16"/>
          <w:szCs w:val="16"/>
        </w:rPr>
        <w:footnoteRef/>
      </w:r>
      <w:r w:rsidRPr="0036527B">
        <w:rPr>
          <w:rFonts w:ascii="Century Gothic" w:hAnsi="Century Gothic"/>
          <w:sz w:val="16"/>
          <w:szCs w:val="16"/>
        </w:rPr>
        <w:t xml:space="preserve"> Sandrini, C</w:t>
      </w:r>
      <w:r w:rsidR="00056198">
        <w:rPr>
          <w:rFonts w:ascii="Century Gothic" w:hAnsi="Century Gothic"/>
          <w:sz w:val="16"/>
          <w:szCs w:val="16"/>
        </w:rPr>
        <w:t xml:space="preserve">. 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(</w:t>
      </w:r>
      <w:proofErr w:type="spellStart"/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coord</w:t>
      </w:r>
      <w:proofErr w:type="spellEnd"/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.)</w:t>
      </w:r>
      <w:r w:rsidRPr="0036527B">
        <w:rPr>
          <w:rFonts w:ascii="Century Gothic" w:hAnsi="Century Gothic"/>
          <w:sz w:val="16"/>
          <w:szCs w:val="16"/>
        </w:rPr>
        <w:t>, Semaines Architecturales de Médiation du Mirail,</w:t>
      </w:r>
      <w:r w:rsidR="00056198">
        <w:rPr>
          <w:rFonts w:ascii="Century Gothic" w:hAnsi="Century Gothic"/>
          <w:sz w:val="16"/>
          <w:szCs w:val="16"/>
        </w:rPr>
        <w:t xml:space="preserve"> janvier 2012, 2013 et 2014</w:t>
      </w:r>
    </w:p>
  </w:footnote>
  <w:footnote w:id="8">
    <w:p w:rsidR="0036527B" w:rsidRPr="0036527B" w:rsidRDefault="0036527B" w:rsidP="0036527B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36527B">
        <w:rPr>
          <w:rStyle w:val="Appelnotedebasdep"/>
          <w:rFonts w:ascii="Century Gothic" w:hAnsi="Century Gothic"/>
          <w:sz w:val="16"/>
          <w:szCs w:val="16"/>
        </w:rPr>
        <w:footnoteRef/>
      </w:r>
      <w:r w:rsidRPr="0036527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Bourriaud</w:t>
      </w:r>
      <w:proofErr w:type="spellEnd"/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, N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.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Pr="0036527B">
        <w:rPr>
          <w:rFonts w:ascii="Century Gothic" w:eastAsia="Times New Roman" w:hAnsi="Century Gothic" w:cs="Times New Roman"/>
          <w:i/>
          <w:iCs/>
          <w:sz w:val="16"/>
          <w:szCs w:val="16"/>
          <w:lang w:eastAsia="fr-FR"/>
        </w:rPr>
        <w:t>Esthétique Relationnelle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 xml:space="preserve">, </w:t>
      </w:r>
      <w:r w:rsidRPr="0036527B">
        <w:rPr>
          <w:rFonts w:ascii="Century Gothic" w:eastAsia="Times New Roman" w:hAnsi="Century Gothic" w:cs="Times New Roman"/>
          <w:sz w:val="16"/>
          <w:szCs w:val="16"/>
          <w:lang w:eastAsia="fr-FR"/>
        </w:rPr>
        <w:t>Paris</w:t>
      </w:r>
      <w:r w:rsidR="00056198">
        <w:rPr>
          <w:rFonts w:ascii="Century Gothic" w:eastAsia="Times New Roman" w:hAnsi="Century Gothic" w:cs="Times New Roman"/>
          <w:sz w:val="16"/>
          <w:szCs w:val="16"/>
          <w:lang w:eastAsia="fr-FR"/>
        </w:rPr>
        <w:t>, Presses du Réel, 1998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8A7"/>
    <w:rsid w:val="00056198"/>
    <w:rsid w:val="000A4281"/>
    <w:rsid w:val="002A3806"/>
    <w:rsid w:val="002B1080"/>
    <w:rsid w:val="0036527B"/>
    <w:rsid w:val="006E1162"/>
    <w:rsid w:val="00911E53"/>
    <w:rsid w:val="009357E3"/>
    <w:rsid w:val="009C1EDF"/>
    <w:rsid w:val="00AB28A7"/>
    <w:rsid w:val="00AE16EB"/>
    <w:rsid w:val="00BE365B"/>
    <w:rsid w:val="00CB2EF8"/>
    <w:rsid w:val="00F75EA7"/>
    <w:rsid w:val="00FA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2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36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36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365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A522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A522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A52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AAE3-1433-4384-BFC5-EC65F70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Sandrini</dc:creator>
  <cp:lastModifiedBy>Clara Sandrini</cp:lastModifiedBy>
  <cp:revision>4</cp:revision>
  <dcterms:created xsi:type="dcterms:W3CDTF">2014-02-17T13:09:00Z</dcterms:created>
  <dcterms:modified xsi:type="dcterms:W3CDTF">2014-02-17T15:42:00Z</dcterms:modified>
</cp:coreProperties>
</file>